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Квітка, що ногою...</w:t>
      </w:r>
    </w:p>
    <w:p>
      <w:r>
        <w:br/>
        <w:t xml:space="preserve"> Квітка, що ногою&lt;br /&gt;</w:t>
        <w:br/>
        <w:t>Стоптана в пилу;&lt;br /&gt;</w:t>
        <w:br/>
        <w:t>Гук, що вмер луною,&lt;br /&gt;</w:t>
        <w:br/>
        <w:t>Пронизавши млу;</w:t>
      </w:r>
    </w:p>
    <w:p>
      <w:r>
        <w:br/>
        <w:t>Огник серед поля,&lt;br /&gt;</w:t>
        <w:br/>
        <w:t>Що блиснув і згас,-&lt;br /&gt;</w:t>
        <w:br/>
        <w:t>Се — та світла доля,&lt;br /&gt;</w:t>
        <w:br/>
        <w:t>Що втекла від нас.</w:t>
      </w:r>
    </w:p>
    <w:p>
      <w:r>
        <w:br/>
        <w:t>1900 — 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Квітка, що ногою...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