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Квітка (до Н. К. С.)</w:t>
      </w:r>
    </w:p>
    <w:p>
      <w:r>
        <w:br/>
        <w:t xml:space="preserve"> Прощайся з ясною красою,&lt;br /&gt;</w:t>
        <w:br/>
        <w:t>Бо вже заходять косарі;&lt;br /&gt;</w:t>
        <w:br/>
        <w:t>Зайшли — поникла під косою,&lt;br /&gt;</w:t>
        <w:br/>
        <w:t>Зів’яла ранком на зорі.</w:t>
      </w:r>
    </w:p>
    <w:p>
      <w:r>
        <w:br/>
        <w:t>Ронивши слізку, посихаєш,-&lt;br /&gt;</w:t>
        <w:br/>
        <w:t>Беруть на образи святі;&lt;br /&gt;</w:t>
        <w:br/>
        <w:t>Ти все жива; благоухаєш&lt;br /&gt;</w:t>
        <w:br/>
        <w:t>На кипарисному хресті!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Квітка (до Н. К. С.)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