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Куда?</w:t>
      </w:r>
    </w:p>
    <w:p>
      <w:r>
        <w:br/>
        <w:t xml:space="preserve"> — Куда ти йдеш, єдиний мій?&lt;br /&gt;</w:t>
        <w:br/>
        <w:t>— Я й сам не знаю, де!&lt;br /&gt;</w:t>
        <w:br/>
        <w:t>Хіба ж та доля вповіда,&lt;br /&gt;</w:t>
        <w:br/>
        <w:t>Куда вна нас веде?&lt;br /&gt;</w:t>
        <w:br/>
        <w:t>Одних веде у райський край,&lt;br /&gt;</w:t>
        <w:br/>
        <w:t>А других у Сибір,&lt;br /&gt;</w:t>
        <w:br/>
        <w:t>А тих в пани, а тих в попи,&lt;br /&gt;</w:t>
        <w:br/>
        <w:t>А тих знов до жовнір;&lt;br /&gt;</w:t>
        <w:br/>
        <w:t>Одних веде на битий шлях,&lt;br /&gt;</w:t>
        <w:br/>
        <w:t>А других манівцем.&lt;br /&gt;</w:t>
        <w:br/>
        <w:t>Але куда? Де мета їм?&lt;br /&gt;</w:t>
        <w:br/>
        <w:t>До кого ми ідем?&lt;br /&gt;</w:t>
        <w:br/>
        <w:t>Не знаю, брате, ти сказать...&lt;br /&gt;</w:t>
        <w:br/>
        <w:t>Да видиш — оддалік&lt;br /&gt;</w:t>
        <w:br/>
        <w:t>Яка висока та сумна&lt;br /&gt;</w:t>
        <w:br/>
        <w:t>Могила там стоїть?&lt;br /&gt;</w:t>
        <w:br/>
        <w:t>А так, як чистий діамант,&lt;br /&gt;</w:t>
        <w:br/>
        <w:t>Та зіронька сния, —&lt;br /&gt;</w:t>
        <w:br/>
        <w:t>Там також, може, хто живе?&lt;br /&gt;</w:t>
        <w:br/>
        <w:t>Коли — то буду й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