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Краєвид</w:t>
      </w:r>
    </w:p>
    <w:p>
      <w:r>
        <w:br/>
        <w:t xml:space="preserve"> &lt;blockquote&gt;Риті, Кончі, Пепе та Карменситі&lt;/blockquote&gt;&lt;br /&gt;</w:t>
        <w:br/>
        <w:t>Заморочений вечір&lt;br /&gt;</w:t>
        <w:br/>
        <w:t>Горнеться в холод.</w:t>
      </w:r>
    </w:p>
    <w:p>
      <w:r>
        <w:br/>
        <w:t>У дітей розплющені очі,&lt;br /&gt;</w:t>
        <w:br/>
        <w:t>Бо за вікном покірно&lt;br /&gt;</w:t>
        <w:br/>
        <w:t>Обростає птахами дерево.</w:t>
      </w:r>
    </w:p>
    <w:p>
      <w:r>
        <w:br/>
        <w:t>Дрімота лягла над рікою.&lt;br /&gt;</w:t>
        <w:br/>
        <w:t>Затремтіло біляве яблуко,&lt;br /&gt;</w:t>
        <w:br/>
        <w:t>Вдарило в дах.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Краєвид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