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Кошеня</w:t>
      </w:r>
    </w:p>
    <w:p>
      <w:r>
        <w:br/>
        <w:t xml:space="preserve"> Засмутилось кошеня —&lt;br /&gt;</w:t>
        <w:br/>
        <w:t>Треба в школу йти щодня.&lt;br /&gt;</w:t>
        <w:br/>
        <w:t>І прикинулося вмить,&lt;br /&gt;</w:t>
        <w:br/>
        <w:t>Що у нього хвіст болить.&lt;br /&gt;</w:t>
        <w:br/>
        <w:t>Довго думав баранець&lt;br /&gt;</w:t>
        <w:br/>
        <w:t>І промовив, як мудрець:&lt;br /&gt;</w:t>
        <w:br/>
        <w:t>"Це хвороба не проста,&lt;br /&gt;</w:t>
        <w:br/>
        <w:t>Треба різати хвоста".&lt;br /&gt;</w:t>
        <w:br/>
        <w:t>Кошеня кричить:&lt;br /&gt;</w:t>
        <w:br/>
        <w:t>"Ніколи!&lt;br /&gt;</w:t>
        <w:br/>
        <w:t>Краще я піду до школи!"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