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Короткий день</w:t>
      </w:r>
    </w:p>
    <w:p>
      <w:r>
        <w:br/>
        <w:t xml:space="preserve"> Будинки потекли,&lt;br /&gt;</w:t>
        <w:br/>
        <w:t>дахів попливли шапки,&lt;br /&gt;</w:t>
        <w:br/>
        <w:t>жовті камінці помостили вікна.</w:t>
      </w:r>
    </w:p>
    <w:p>
      <w:r>
        <w:br/>
        <w:t>По камінцях жінка&lt;br /&gt;</w:t>
        <w:br/>
        <w:t>перейшла струмок,&lt;br /&gt;</w:t>
        <w:br/>
        <w:t>нагодувала тарілку,&lt;br /&gt;</w:t>
        <w:br/>
        <w:t>долила криницю —&lt;br /&gt;</w:t>
        <w:br/>
        <w:t>і по червоних камінцях&lt;br /&gt;</w:t>
        <w:br/>
        <w:t>в цей бік перейшла струпом.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Короткий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