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Коляда</w:t>
      </w:r>
    </w:p>
    <w:p>
      <w:r>
        <w:br/>
        <w:t xml:space="preserve"> При цій малій нехитрій коляді&lt;br /&gt;</w:t>
        <w:br/>
        <w:t>все менше нас: мороз на голос тисне.&lt;br /&gt;</w:t>
        <w:br/>
        <w:t>Вмерзає слово у грубезний лід,&lt;br /&gt;</w:t>
        <w:br/>
        <w:t>як риба — до весни (а лід розтане? трісне?).&lt;br /&gt;</w:t>
        <w:br/>
        <w:t>Змерзає коляда у кожен звук —&lt;br /&gt;</w:t>
        <w:br/>
        <w:t>і тут не допоможуть нам кожухи,&lt;br /&gt;</w:t>
        <w:br/>
        <w:t>не виручить і пташка тетерук,&lt;br /&gt;</w:t>
        <w:br/>
        <w:t>якщо наш хор хисткий і слабодухий...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Коляда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