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о п’ятій ранку сніг паде...</w:t>
      </w:r>
    </w:p>
    <w:p>
      <w:r>
        <w:br/>
        <w:t xml:space="preserve"> Коли о п’ятій ранку сніг паде,&lt;br /&gt;</w:t>
        <w:br/>
        <w:t>досліджуючи зими кам’яні,&lt;br /&gt;</w:t>
        <w:br/>
        <w:t>сягаючи святинь і змінюючи їх&lt;br /&gt;</w:t>
        <w:br/>
        <w:t>на ряд понять, цілком алгебраїчних;&lt;br /&gt;</w:t>
        <w:br/>
        <w:t>коли без батька п’ю своє вино,&lt;br /&gt;</w:t>
        <w:br/>
        <w:t>дописуючи вірш, нікому не потрібний,&lt;br /&gt;</w:t>
        <w:br/>
        <w:t>домислюючи ніч, як долю своєрідну, —&lt;br /&gt;</w:t>
        <w:br/>
        <w:t>тоді приходить Бог. І вибива вікно.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о п’ятій ранку сніг паде...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