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люди мають любовниць...</w:t>
      </w:r>
    </w:p>
    <w:p>
      <w:r>
        <w:br/>
        <w:t xml:space="preserve"> Коли люди мають любовниць…&lt;br /&gt;</w:t>
        <w:br/>
        <w:t>о, яка напасть!..&lt;br /&gt;</w:t>
        <w:br/>
        <w:t>Коли люди ніколи нічого не люблять – це жах!..&lt;br /&gt;</w:t>
        <w:br/>
        <w:t>Коли ж я люблю…&lt;br /&gt;</w:t>
        <w:br/>
        <w:t>Та "я", як любовниця людська – це щастя.&lt;br /&gt;</w:t>
        <w:br/>
        <w:t>О, глупа приємність…&lt;br /&gt;</w:t>
        <w:br/>
        <w:t>О, дике узгір’я бажань…&lt;br /&gt;</w:t>
        <w:br/>
        <w:t>Нене, природо, навіщо жахливо караєш.&lt;br /&gt;</w:t>
        <w:br/>
        <w:t>Паруси рвеш у морі на шмаття…&lt;br /&gt;</w:t>
        <w:br/>
        <w:t>Мене, як той парус, шматуєш, б’ючи серцем —&lt;br /&gt;</w:t>
        <w:br/>
        <w:t>об скелю на радість бакланові.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люди мають любовниць...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