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гай на обрію квітне...</w:t>
      </w:r>
    </w:p>
    <w:p>
      <w:r>
        <w:br/>
        <w:t xml:space="preserve"> &lt;blockquote&gt;Л.А.&lt;/blockquote&gt;</w:t>
      </w:r>
    </w:p>
    <w:p>
      <w:r>
        <w:br/>
        <w:t>Коли гай на обрію квітне,&lt;br /&gt;</w:t>
        <w:br/>
        <w:t>То здається очам,&lt;br /&gt;</w:t>
        <w:br/>
        <w:t>Що розкішне царство блакитне&lt;br /&gt;</w:t>
        <w:br/>
        <w:t>Розгортається там.&lt;br /&gt;</w:t>
        <w:br/>
        <w:t>А наближ його володіння —&lt;br /&gt;</w:t>
        <w:br/>
        <w:t>Десь подінеться синь...&lt;br /&gt;</w:t>
        <w:br/>
        <w:t>Далечінь тому лише синя,&lt;br /&gt;</w:t>
        <w:br/>
        <w:t>Що вона — далечінь.</w:t>
      </w:r>
    </w:p>
    <w:p>
      <w:r>
        <w:br/>
        <w:t>Прага, 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гай на обрію квітне...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