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Кінчаючи</w:t>
      </w:r>
    </w:p>
    <w:p>
      <w:r>
        <w:br/>
        <w:t xml:space="preserve"> Кінчаючи цієї книги&lt;br /&gt;</w:t>
        <w:br/>
        <w:t>співні, п'янливі сторінки,&lt;br /&gt;</w:t>
        <w:br/>
        <w:t>не думай, друже, що у них я&lt;br /&gt;</w:t>
        <w:br/>
        <w:t>горіти зможу крізь віки.&lt;br /&gt;</w:t>
        <w:br/>
        <w:t>Із поривань, натхнень, одчаю&lt;br /&gt;</w:t>
        <w:br/>
        <w:t>останеться лиш попіл мрій.&lt;br /&gt;</w:t>
        <w:br/>
        <w:t>Бо ж пам'ятник крихкий лишаю&lt;br /&gt;</w:t>
        <w:br/>
        <w:t>турботі й радості своїй.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Кінчаючи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