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хороший</w:t>
      </w:r>
    </w:p>
    <w:p>
      <w:r>
        <w:br/>
        <w:t xml:space="preserve"> Засинає бегемот,&lt;br /&gt;</w:t>
        <w:br/>
        <w:t>позіхнувши на весь рот.&lt;br /&gt;</w:t>
        <w:br/>
        <w:t>Біля нього моститься&lt;br /&gt;</w:t>
        <w:br/>
        <w:t>ніжна бегемотиця,&lt;br /&gt;</w:t>
        <w:br/>
        <w:t>й бегемотенята&lt;br /&gt;</w:t>
        <w:br/>
        <w:t>полягали спати.</w:t>
      </w:r>
    </w:p>
    <w:p>
      <w:r>
        <w:br/>
        <w:t>Лиш в сусідньому вольєрі&lt;br /&gt;</w:t>
        <w:br/>
        <w:t>хижі зайчики не сплять&lt;br /&gt;</w:t>
        <w:br/>
        <w:t>і зубаті пащі шкірять –&lt;br /&gt;</w:t>
        <w:br/>
        <w:t>бегемота покусать…</w:t>
      </w:r>
    </w:p>
    <w:p>
      <w:r>
        <w:br/>
        <w:t>Не повірили? Авжеж!&lt;br /&gt;</w:t>
        <w:br/>
        <w:t>Бегемот хороший теж.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хороший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