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Хід</w:t>
      </w:r>
    </w:p>
    <w:p>
      <w:r>
        <w:br/>
        <w:t xml:space="preserve"> Мадонна у скельцях,&lt;br /&gt;</w:t>
        <w:br/>
        <w:t>Мадонна Соледад,&lt;br /&gt;</w:t>
        <w:br/>
        <w:t>розкрита незмірним&lt;br /&gt;</w:t>
        <w:br/>
        <w:t>тюльпаном.&lt;br /&gt;</w:t>
        <w:br/>
        <w:t>У своєму човні світла&lt;br /&gt;</w:t>
        <w:br/>
        <w:t>пливе&lt;br /&gt;</w:t>
        <w:br/>
        <w:t>через приплив&lt;br /&gt;</w:t>
        <w:br/>
        <w:t>міста,&lt;br /&gt;</w:t>
        <w:br/>
        <w:t>серед сает тривоги&lt;br /&gt;</w:t>
        <w:br/>
        <w:t>та зірок із кришталю.&lt;br /&gt;</w:t>
        <w:br/>
        <w:t>Мадонна у скельцях&lt;br /&gt;</w:t>
        <w:br/>
        <w:t>ти ідеш&lt;br /&gt;</w:t>
        <w:br/>
        <w:t>річкою вулиці,&lt;br /&gt;</w:t>
        <w:br/>
        <w:t>аж до моря!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