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Хати біліше сорочок дівочих...</w:t>
      </w:r>
    </w:p>
    <w:p>
      <w:r>
        <w:br/>
        <w:t xml:space="preserve"> Хати біліше сорочок дівочих...&lt;br /&gt;</w:t>
        <w:br/>
        <w:t>Немає кращих мазальниць у них,&lt;br /&gt;</w:t>
        <w:br/>
        <w:t>Як ці наскрізь прозорі зимні ночі,&lt;br /&gt;</w:t>
        <w:br/>
        <w:t>Коли і місяць світиться і сніг.</w:t>
      </w:r>
    </w:p>
    <w:p>
      <w:r>
        <w:br/>
        <w:t>Задурно все — і глина і лязурок...&lt;br /&gt;</w:t>
        <w:br/>
        <w:t>Так тихо білять, що й не чути їх...&lt;br /&gt;</w:t>
        <w:br/>
        <w:t>Хати біліше казкових Снігурок,&lt;br /&gt;</w:t>
        <w:br/>
        <w:t>Коли і місяць світиться і сніг.</w:t>
      </w:r>
    </w:p>
    <w:p>
      <w:r>
        <w:br/>
        <w:t>Прага, 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Хати біліше сорочок дівочих...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