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Каченята вчаться</w:t>
      </w:r>
    </w:p>
    <w:p>
      <w:r>
        <w:br/>
        <w:t xml:space="preserve"> У калюжі коло хати&lt;br /&gt;</w:t>
        <w:br/>
        <w:t>жовтопузі каченята&lt;br /&gt;</w:t>
        <w:br/>
        <w:t>у своєї мами-качки&lt;br /&gt;</w:t>
        <w:br/>
        <w:t>зранку вчилися пірнати.</w:t>
      </w:r>
    </w:p>
    <w:p>
      <w:r>
        <w:br/>
        <w:t>Тільки мілко у калюжі,&lt;br /&gt;</w:t>
        <w:br/>
        <w:t>бо води у ній — не дуже,&lt;br /&gt;</w:t>
        <w:br/>
        <w:t>і тому пішли до річки&lt;br /&gt;</w:t>
        <w:br/>
        <w:t>каченята жовтопузі.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Каченята вчаться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