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Єва</w:t>
      </w:r>
    </w:p>
    <w:p>
      <w:r>
        <w:br/>
        <w:t xml:space="preserve"> Стерня висока і високі зорі.&lt;br /&gt;</w:t>
        <w:br/>
        <w:t>Між ними літо бабине летить.&lt;br /&gt;</w:t>
        <w:br/>
        <w:t>Між ними вітер грається у мить,&lt;br /&gt;</w:t>
        <w:br/>
        <w:t>якої через мить уже не стане&lt;br /&gt;</w:t>
        <w:br/>
        <w:t>у слові над пошерхлими вустами&lt;br /&gt;</w:t>
        <w:br/>
        <w:t>вже літньої, ще гарної жони.&lt;br /&gt;</w:t>
        <w:br/>
        <w:t>Не спиниться від того Віз Чумацький,&lt;br /&gt;</w:t>
        <w:br/>
        <w:t>вода не переллється через край&lt;br /&gt;</w:t>
        <w:br/>
        <w:t>в залізних ночвах.&lt;br /&gt;</w:t>
        <w:br/>
        <w:t>Слово "рай"&lt;br /&gt;</w:t>
        <w:br/>
        <w:t>промовить жінка серед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