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тільки задзвонять чотири годинки…</w:t>
      </w:r>
    </w:p>
    <w:p>
      <w:r>
        <w:br/>
        <w:t xml:space="preserve"> Як тільки задзвонять чотири годинки,&lt;br /&gt;</w:t>
        <w:br/>
        <w:t>Так ми й шморгнемо в високії будинки&lt;br /&gt;</w:t>
        <w:br/>
        <w:t>Та любих панночок&lt;br /&gt;</w:t>
        <w:br/>
        <w:t>Засадим до книжок:&lt;br /&gt;</w:t>
        <w:br/>
        <w:t>Нехай гуртом голосять&lt;br /&gt;</w:t>
        <w:br/>
        <w:t>Та хоч борщу Петрові просять.&lt;br /&gt;</w:t>
        <w:br/>
        <w:t>21 июня 1851 г., Полтава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тільки задзвонять чотири годинки…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