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луна загубленого раю...</w:t>
      </w:r>
    </w:p>
    <w:p>
      <w:r>
        <w:br/>
        <w:t xml:space="preserve"> Як луна загубленого раю —&lt;br /&gt;</w:t>
        <w:br/>
        <w:t>На дзвіниці відгукнувся дзвін,&lt;br /&gt;</w:t>
        <w:br/>
        <w:t>І зірвалась біла-біла зграя,&lt;br /&gt;</w:t>
        <w:br/>
        <w:t>Зграя білих-білих голубів.</w:t>
      </w:r>
    </w:p>
    <w:p>
      <w:r>
        <w:br/>
        <w:t>Вечір вдарив червінню по крилах,&lt;br /&gt;</w:t>
        <w:br/>
        <w:t>Промінь вдарив по пелюстках крил,&lt;br /&gt;</w:t>
        <w:br/>
        <w:t>У рожевім біле затремтіло,&lt;br /&gt;</w:t>
        <w:br/>
        <w:t>І рожевим став вечірній пил.</w:t>
      </w:r>
    </w:p>
    <w:p>
      <w:r>
        <w:br/>
      </w:r>
    </w:p>
    <w:p>
      <w:r>
        <w:br/>
        <w:t>Каліш — табор, 21.V.1922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луна загубленого 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