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 це називається літо!</w:t>
      </w:r>
    </w:p>
    <w:p>
      <w:r>
        <w:br/>
        <w:t xml:space="preserve"> І це називається літо:&lt;br /&gt;</w:t>
        <w:br/>
        <w:t>надворі — дощі та дощі!&lt;br /&gt;</w:t>
        <w:br/>
        <w:t>Ну як мені мальву полити?&lt;br /&gt;</w:t>
        <w:br/>
        <w:t>Чи йти поливати в плащі?</w:t>
      </w:r>
    </w:p>
    <w:p>
      <w:r>
        <w:br/>
        <w:t>І це називається літо:&lt;br /&gt;</w:t>
        <w:br/>
        <w:t>хмар у саду — ніби слив!&lt;br /&gt;</w:t>
        <w:br/>
        <w:t>На гойдалці бавиться вітер,&lt;br /&gt;</w:t>
        <w:br/>
        <w:t>а я ж коли вийду? Коли?</w:t>
      </w:r>
    </w:p>
    <w:p>
      <w:r>
        <w:br/>
        <w:t>І це називається літо…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 це називається літо!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