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Гусак</w:t>
      </w:r>
    </w:p>
    <w:p>
      <w:r>
        <w:br/>
        <w:t xml:space="preserve"> Наш гусак піднявсь на кладку,&lt;br /&gt;</w:t>
        <w:br/>
        <w:t>Став, як завше, на зарядку,&lt;br /&gt;</w:t>
        <w:br/>
        <w:t>Повернувся вліво, вправо,&lt;br /&gt;</w:t>
        <w:br/>
        <w:t>Чітко робить вільні вправи.&lt;br /&gt;</w:t>
        <w:br/>
        <w:t>От зробив гусак зарядку&lt;br /&gt;</w:t>
        <w:br/>
        <w:t>Та й у річку — бух із кладки! —&lt;br /&gt;</w:t>
        <w:br/>
        <w:t>Миє крила, чистить лапки.&lt;br /&gt;</w:t>
        <w:br/>
        <w:t>Каже качур: — Так-так-так,&lt;br /&gt;</w:t>
        <w:br/>
        <w:t>Фізкультурник наш гусак!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