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Гуляю я... Луг...</w:t>
      </w:r>
    </w:p>
    <w:p>
      <w:r>
        <w:br/>
        <w:t xml:space="preserve"> Гуляю я... Луг...&lt;br /&gt;</w:t>
        <w:br/>
        <w:t>І –&lt;br /&gt;</w:t>
        <w:br/>
        <w:t>Гул у луг.&lt;br /&gt;</w:t>
        <w:br/>
        <w:t>Диво: не сяє ясен овид...&lt;br /&gt;</w:t>
        <w:br/>
        <w:t>Круговиду диво-гурк...&lt;br /&gt;</w:t>
        <w:br/>
        <w:t>Луг... Я свищу ледь не Дунаю:&lt;br /&gt;</w:t>
        <w:br/>
        <w:t>"Ану!" День, де лущився гул,&lt;br /&gt;</w:t>
        <w:br/>
        <w:t>Гуля, і турка-крутія Луг&lt;br /&gt;</w:t>
        <w:br/>
        <w:t>Тне, мудрогорд, умент&lt;br /&gt;</w:t>
        <w:br/>
        <w:t>("Ану!.." – луна&lt;br /&gt;</w:t>
        <w:br/>
        <w:t>Гула за Базалуг).&lt;br /&gt;</w:t>
        <w:br/>
        <w:t>Гуляю я... Луг.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Гуляю я... Луг...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