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Гранадські жалібниці</w:t>
      </w:r>
    </w:p>
    <w:p>
      <w:r>
        <w:br/>
        <w:t xml:space="preserve"> Десь там їх двоє у Гранаді&lt;br /&gt;</w:t>
        <w:br/>
        <w:t>Оплакують один твій гріх&lt;br /&gt;</w:t>
        <w:br/>
        <w:t>Ми ж тут жбурляємо гранати&lt;br /&gt;</w:t>
        <w:br/>
        <w:t>I вже то яйця із яких</w:t>
      </w:r>
    </w:p>
    <w:p>
      <w:r>
        <w:br/>
        <w:t>Клюються півники Інфанто&lt;br /&gt;</w:t>
        <w:br/>
        <w:t>Ви чуєте той спів Жах-жах&lt;br /&gt;</w:t>
        <w:br/>
        <w:t>Які гранати ви погляньте&lt;br /&gt;</w:t>
        <w:br/>
        <w:t>У наших визріли садах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Гранадські жалібниці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