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Горять священні орифлями...</w:t>
      </w:r>
    </w:p>
    <w:p>
      <w:r>
        <w:br/>
        <w:t xml:space="preserve"> Горять священні орифлями&lt;br /&gt;</w:t>
        <w:br/>
        <w:t>революційної весни.&lt;br /&gt;</w:t>
        <w:br/>
        <w:t>Ми ждем і вірим коло брами.&lt;br /&gt;</w:t>
        <w:br/>
        <w:t>Горять священні орифлями,&lt;br /&gt;</w:t>
        <w:br/>
        <w:t>і сонце в грудях і над нами,&lt;br /&gt;</w:t>
        <w:br/>
        <w:t>і сонцем заквітчались сни.&lt;br /&gt;</w:t>
        <w:br/>
        <w:t>Горять священні орифлями&lt;br /&gt;</w:t>
        <w:br/>
        <w:t>революційної весни.&lt;br /&gt;</w:t>
        <w:br/>
        <w:t>1924. ПРОРОСТЕНЬ, 1926, с. 11.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Горять священні орифлями...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