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Гнізда радості</w:t>
      </w:r>
    </w:p>
    <w:p>
      <w:r>
        <w:br/>
        <w:t xml:space="preserve"> За шклом старенькі привиди і сніг&lt;br /&gt;</w:t>
        <w:br/>
        <w:t>нічна година борзо втіче з ними&lt;br /&gt;</w:t>
        <w:br/>
        <w:t>ще можна грати в шахи con sordino&lt;br /&gt;</w:t>
        <w:br/>
        <w:t>із відображенням у темному вікні</w:t>
      </w:r>
    </w:p>
    <w:p>
      <w:r>
        <w:br/>
        <w:t>і вірний пес пантрує карим оком&lt;br /&gt;</w:t>
        <w:br/>
        <w:t>як дзиґар вибирає цілу ніч&lt;br /&gt;</w:t>
        <w:br/>
        <w:t>між гніздами що високо у горах&lt;br /&gt;</w:t>
        <w:br/>
        <w:t>і тими що є глибоко в мені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Гнізда радості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