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Героїчне</w:t>
      </w:r>
    </w:p>
    <w:p>
      <w:r>
        <w:br/>
        <w:t xml:space="preserve"> Рівний степ, широкий степ&lt;br /&gt;</w:t>
        <w:br/>
        <w:t>видовжується і росте,&lt;br /&gt;</w:t>
        <w:br/>
        <w:t>могили товпляться узгір’ям.&lt;br /&gt;</w:t>
        <w:br/>
        <w:t>Як вимірять страшне безмір’я&lt;br /&gt;</w:t>
        <w:br/>
        <w:t>висот і сил, стремлінь, снаги?&lt;br /&gt;</w:t>
        <w:br/>
        <w:t>Як не притиснуть остроги&lt;br /&gt;</w:t>
        <w:br/>
        <w:t>тяжкокопитному коневі?&lt;br /&gt;</w:t>
        <w:br/>
        <w:t>І обрій дальній і рожевий&lt;br /&gt;</w:t>
        <w:br/>
        <w:t>наближується, рветься вшир.&lt;br /&gt;</w:t>
        <w:br/>
        <w:t>Пне дужі груди богатир.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Героїчне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