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Гей, знаю, що не підеш ти в життя за мною...</w:t>
      </w:r>
    </w:p>
    <w:p>
      <w:r>
        <w:br/>
        <w:t xml:space="preserve"> * * *</w:t>
      </w:r>
    </w:p>
    <w:p>
      <w:r>
        <w:br/>
        <w:t>Гей, знаю, що не підеш ти в життя за мною,&lt;br /&gt;</w:t>
        <w:br/>
        <w:t>В життя, що мріє тінню беззвіздної ночі,&lt;br /&gt;</w:t>
        <w:br/>
        <w:t>А прецінь серед виру з такою тугою&lt;br /&gt;</w:t>
        <w:br/>
        <w:t>За тобою беззвіздно блудять мої очі…</w:t>
      </w:r>
    </w:p>
    <w:p>
      <w:r>
        <w:br/>
        <w:t>Як хвиля срібних звуків чаром нас овіє,&lt;br /&gt;</w:t>
        <w:br/>
        <w:t>Я стать твою принадну обійму рукою,&lt;br /&gt;</w:t>
        <w:br/>
        <w:t>Душа моя про щастя злоті мрії мріє —&lt;br /&gt;</w:t>
        <w:br/>
        <w:t>Хоть знаю, що не підеш ти в життя за мною.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Гей, знаю, що не підеш ти в життя за мною...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