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Гарбуз</w:t>
      </w:r>
    </w:p>
    <w:p>
      <w:r>
        <w:br/>
        <w:t xml:space="preserve"> Трипудовий гарбуз&lt;br /&gt;</w:t>
        <w:br/>
        <w:t>На городі&lt;br /&gt;</w:t>
        <w:br/>
        <w:t>Загруз.&lt;br /&gt;</w:t>
        <w:br/>
        <w:t>А на цей гарбуз&lt;br /&gt;</w:t>
        <w:br/>
        <w:t>Сів з дітьми&lt;br /&gt;</w:t>
        <w:br/>
        <w:t>Чорногуз.&lt;br /&gt;</w:t>
        <w:br/>
        <w:t>Каже він до діток:&lt;br /&gt;</w:t>
        <w:br/>
        <w:t>— Сіли ми&lt;br /&gt;</w:t>
        <w:br/>
        <w:t>На горбок.—&lt;br /&gt;</w:t>
        <w:br/>
        <w:t>І не зна чорногуз,&lt;br /&gt;</w:t>
        <w:br/>
        <w:t>Що він сів&lt;br /&gt;</w:t>
        <w:br/>
        <w:t>На гарбуз.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Гарбуз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