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Гак</w:t>
      </w:r>
    </w:p>
    <w:p>
      <w:r>
        <w:br/>
        <w:t xml:space="preserve"> Ця стіна рівно освітлена промінням, а навпроти —&lt;br /&gt;</w:t>
        <w:br/>
        <w:t>стіна в затінку. Між ними садок чи то парк&lt;br /&gt;</w:t>
        <w:br/>
        <w:t>з водограєм, з доріжками, котрі посилано&lt;br /&gt;</w:t>
        <w:br/>
        <w:t>річковим піском.&lt;br /&gt;</w:t>
        <w:br/>
        <w:t>І все-таки, коли все обійти, обдивитись, —&lt;br /&gt;</w:t>
        <w:br/>
        <w:t>хоч як пильно й повільно, — завше лишається час,&lt;br /&gt;</w:t>
        <w:br/>
        <w:t>щоб у сутінках помітити гак — прямо над брамою,&lt;br /&gt;</w:t>
        <w:br/>
        <w:t>в яку ти входив.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