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Гадка</w:t>
      </w:r>
    </w:p>
    <w:p>
      <w:r>
        <w:br/>
        <w:t xml:space="preserve"> Власне щастя та турботи,&lt;br /&gt;</w:t>
        <w:br/>
        <w:t>Власні думки... кинь гадать...&lt;br /&gt;</w:t>
        <w:br/>
        <w:t>До громадської роботи&lt;br /&gt;</w:t>
        <w:br/>
        <w:t>Слід життя своє віддать.</w:t>
      </w:r>
    </w:p>
    <w:p>
      <w:r>
        <w:br/>
        <w:t>Згинуть марні піклування&lt;br /&gt;</w:t>
        <w:br/>
        <w:t>В тихім захистку хрестів,&lt;br /&gt;</w:t>
        <w:br/>
        <w:t>Розлетяться почування.&lt;br /&gt;</w:t>
        <w:br/>
        <w:t>Крім любові до братів.</w:t>
      </w:r>
    </w:p>
    <w:p>
      <w:r>
        <w:br/>
        <w:t>Вона піде поміж миром,&lt;br /&gt;</w:t>
        <w:br/>
        <w:t>Яко заповідь людська;&lt;br /&gt;</w:t>
        <w:br/>
        <w:t>Щастя всіх — святим кумиром&lt;br /&gt;</w:t>
        <w:br/>
        <w:t>Стане мужа-бояка!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