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країни</w:t>
      </w:r>
    </w:p>
    <w:p>
      <w:r>
        <w:br/>
        <w:t xml:space="preserve"> Шарада</w:t>
      </w:r>
    </w:p>
    <w:p>
      <w:r>
        <w:br/>
        <w:t>До умови шаради простої&lt;br /&gt;</w:t>
        <w:br/>
        <w:t>тут ми Африку мусимо вставити;&lt;br /&gt;</w:t>
        <w:br/>
        <w:t>в ній до назви країни жаркої&lt;br /&gt;</w:t>
        <w:br/>
        <w:t>Бо попереду мусим добавити —&lt;br /&gt;</w:t>
        <w:br/>
        <w:t>й принесуть нам у кліматі зміну&lt;br /&gt;</w:t>
        <w:br/>
        <w:t>дивовижні словесні химери ці,&lt;br /&gt;</w:t>
        <w:br/>
        <w:t>і потрапим ми в іншу країну,&lt;br /&gt;</w:t>
        <w:br/>
        <w:t>що вже буде в Південній Америці.</w:t>
      </w:r>
    </w:p>
    <w:p>
      <w:r>
        <w:br/>
        <w:t>Які це країни?</w:t>
      </w:r>
    </w:p>
    <w:p>
      <w:r>
        <w:br/>
        <w:t>(Лівія й Болівія)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країни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