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столики на кривих шклянках...</w:t>
      </w:r>
    </w:p>
    <w:p>
      <w:r>
        <w:br/>
        <w:t xml:space="preserve"> Два столики на кривих шклянках,&lt;br /&gt;</w:t>
        <w:br/>
        <w:t>кави не більше двох—&lt;br /&gt;</w:t>
        <w:br/>
        <w:t>стьобнули ледве-живого,&lt;br /&gt;</w:t>
        <w:br/>
        <w:t>щоб не думав про дах&lt;br /&gt;</w:t>
        <w:br/>
        <w:t>і льох.</w:t>
      </w:r>
    </w:p>
    <w:p>
      <w:r>
        <w:br/>
        <w:t>Я тут без інструментів —&lt;br /&gt;</w:t>
        <w:br/>
        <w:t>легко кишені тримать вікні —&lt;br /&gt;</w:t>
        <w:br/>
        <w:t>і папироси 25 штук "Рента"&lt;br /&gt;</w:t>
        <w:br/>
        <w:t>і сумно, сумно мені.</w:t>
      </w:r>
    </w:p>
    <w:p>
      <w:r>
        <w:br/>
        <w:t>18-II&amp;ndash;920.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столики на кривих шклянках...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