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Ой лишіть мня, най думаю,&lt;br /&gt;</w:t>
        <w:br/>
        <w:t>Доки світла, доки маю,&lt;br /&gt;</w:t>
        <w:br/>
        <w:t>Бо як зложуть в домовину,&lt;br /&gt;</w:t>
        <w:br/>
        <w:t>Там думати вже покину.</w:t>
      </w:r>
    </w:p>
    <w:p>
      <w:r>
        <w:br/>
        <w:t>А хоть в гробі задумаю,&lt;br /&gt;</w:t>
        <w:br/>
        <w:t>То ні в світлі, ані в маю;&lt;br /&gt;</w:t>
        <w:br/>
        <w:t>Біла черва точить груди —&lt;br /&gt;</w:t>
        <w:br/>
        <w:t>Вся то моя думка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