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Долоня</w:t>
      </w:r>
    </w:p>
    <w:p>
      <w:r>
        <w:br/>
        <w:t xml:space="preserve"> Двадцять сім кісток,&lt;br /&gt;</w:t>
        <w:br/>
        <w:t>тридцять п'ять м'язів,&lt;br /&gt;</w:t>
        <w:br/>
        <w:t>близько двох тисяч клітин нервових&lt;br /&gt;</w:t>
        <w:br/>
        <w:t>у кожній пучці наших п'яти пальців.&lt;br /&gt;</w:t>
        <w:br/>
        <w:t>Цього цілком достатньо,&lt;br /&gt;</w:t>
        <w:br/>
        <w:t>щоб написать "Mein Kampf"&lt;br /&gt;</w:t>
        <w:br/>
        <w:t>або "Пригоди Вінні-Пуха".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