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Доля</w:t>
      </w:r>
    </w:p>
    <w:p>
      <w:r>
        <w:br/>
        <w:t xml:space="preserve"> Дівчина з устами блідними,&lt;br /&gt;</w:t>
        <w:br/>
        <w:t>Дівчина, з очима-безоднями&lt;br /&gt;</w:t>
        <w:br/>
        <w:t>Обнімає мене руками нерідними&lt;br /&gt;</w:t>
        <w:br/>
        <w:t>І цілує устами холодними.</w:t>
      </w:r>
    </w:p>
    <w:p>
      <w:r>
        <w:br/>
        <w:t>То – моя доля радістю не вінчана,&lt;br /&gt;</w:t>
        <w:br/>
        <w:t>То – моя доля теплом не обвіяна.&lt;br /&gt;</w:t>
        <w:br/>
        <w:t>Повела мене у Нерадість Дівчина,&lt;br /&gt;</w:t>
        <w:br/>
        <w:t>Дівчина казками замріяна…</w:t>
      </w:r>
    </w:p>
    <w:p>
      <w:r>
        <w:br/>
        <w:t>Там я забув Святі Заповіти,&lt;br /&gt;</w:t>
        <w:br/>
        <w:t>Розгубив пелюстки цвіту вишневого…&lt;br /&gt;</w:t>
        <w:br/>
        <w:t>І іду душею і серцем зотліти&lt;br /&gt;</w:t>
        <w:br/>
        <w:t>У царство Змія Огневого!..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