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До... ("Ярмо важуче...")</w:t>
      </w:r>
    </w:p>
    <w:p>
      <w:r>
        <w:br/>
        <w:t xml:space="preserve"> Ярмо важуче —&lt;br /&gt;</w:t>
        <w:br/>
        <w:t>То твій вінець,&lt;br /&gt;</w:t>
        <w:br/>
        <w:t>Життя замуче&lt;br /&gt;</w:t>
        <w:br/>
        <w:t>Тебе вкінець.</w:t>
      </w:r>
    </w:p>
    <w:p>
      <w:r>
        <w:br/>
        <w:t>Всю сум обійме...&lt;br /&gt;</w:t>
        <w:br/>
        <w:t>З чола ж твого&lt;br /&gt;</w:t>
        <w:br/>
        <w:t>Сам кат не здійме&lt;br /&gt;</w:t>
        <w:br/>
        <w:t>Вінця того.</w:t>
      </w:r>
    </w:p>
    <w:p>
      <w:r>
        <w:br/>
        <w:t>Він сяти буде&lt;br /&gt;</w:t>
        <w:br/>
        <w:t>Зі споду тьми,&lt;br /&gt;</w:t>
        <w:br/>
        <w:t>Любов розбуде&lt;br /&gt;</w:t>
        <w:br/>
        <w:t>Межи людьми!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До... ("Ярмо важуче...")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