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альбома одної пані</w:t>
      </w:r>
    </w:p>
    <w:p>
      <w:r>
        <w:br/>
        <w:t xml:space="preserve"> Hande kussen. Hute rucken.</w:t>
      </w:r>
    </w:p>
    <w:p>
      <w:r>
        <w:br/>
        <w:t>Цілувати ручки, і бриля скидати,&lt;br /&gt;</w:t>
        <w:br/>
        <w:t>I згинать коліна, і чолом давати, —&lt;br /&gt;</w:t>
        <w:br/>
        <w:t>Це, дитятко, тільки марне малпування,&lt;br /&gt;</w:t>
        <w:br/>
        <w:t>Як нема до того в серці почування.</w:t>
      </w:r>
    </w:p>
    <w:p>
      <w:r>
        <w:br/>
        <w:t>Відень, 1895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альбома одної пані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