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кого живеш?</w:t>
      </w:r>
    </w:p>
    <w:p>
      <w:r>
        <w:br/>
        <w:t xml:space="preserve"> Квіти живуть для мене&lt;br /&gt;</w:t>
        <w:br/>
        <w:t>там, де є лист зелений,&lt;br /&gt;</w:t>
        <w:br/>
        <w:t>де напувають дощі&lt;br /&gt;</w:t>
        <w:br/>
        <w:t>трави веселі й кущі,&lt;br /&gt;</w:t>
        <w:br/>
        <w:t>сливину спраглу гілку&lt;br /&gt;</w:t>
        <w:br/>
        <w:t>і золотеньку бджілку,&lt;br /&gt;</w:t>
        <w:br/>
        <w:t>мамину білу хатку,&lt;br /&gt;</w:t>
        <w:br/>
        <w:t>річчину довгу кладку,&lt;br /&gt;</w:t>
        <w:br/>
        <w:t>котика на осонні&lt;br /&gt;</w:t>
        <w:br/>
        <w:t>і гусенятко сонне…</w:t>
      </w:r>
    </w:p>
    <w:p>
      <w:r>
        <w:br/>
        <w:t>Питають мене щоранку:&lt;br /&gt;</w:t>
        <w:br/>
        <w:t>— Для кого живеш, Олянко?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кого живеш?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