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Дитина</w:t>
      </w:r>
    </w:p>
    <w:p>
      <w:r>
        <w:br/>
        <w:t xml:space="preserve"> — Чого ж бо ти плачеш, дитинонько мила?&lt;br /&gt;</w:t>
        <w:br/>
        <w:t>— А, ненечко-утко: котюга вкусила!&lt;br /&gt;</w:t>
        <w:br/>
        <w:t>— Коли від котюги такий тобі жас,&lt;br /&gt;</w:t>
        <w:br/>
        <w:t>То ще ти на світі заплачеш не раз.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