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айстри вмирали</w:t>
      </w:r>
    </w:p>
    <w:p>
      <w:r>
        <w:br/>
        <w:t xml:space="preserve"> В огороді коло хати,&lt;br /&gt;</w:t>
        <w:br/>
        <w:t>Де айстри вмирали,&lt;br /&gt;</w:t>
        <w:br/>
        <w:t>Жовнярики молодого&lt;br /&gt;</w:t>
        <w:br/>
        <w:t>Стрільця поховали.</w:t>
      </w:r>
    </w:p>
    <w:p>
      <w:r>
        <w:br/>
        <w:t>Та не встигли витесати&lt;br /&gt;</w:t>
        <w:br/>
        <w:t>Хрестика з дубини,&lt;br /&gt;</w:t>
        <w:br/>
        <w:t>Посадили на могилі&lt;br /&gt;</w:t>
        <w:br/>
        <w:t>Чорний кущ тернини.</w:t>
      </w:r>
    </w:p>
    <w:p>
      <w:r>
        <w:br/>
        <w:t>Вбрали її в білі айстри&lt;br /&gt;</w:t>
        <w:br/>
        <w:t>З грядок коло хати&lt;br /&gt;</w:t>
        <w:br/>
        <w:t>Та й пустились селом далі&lt;br /&gt;</w:t>
        <w:br/>
        <w:t>Могили копати…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айстри вмирали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