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Чорногуз приймає душ</w:t>
      </w:r>
    </w:p>
    <w:p>
      <w:r>
        <w:br/>
        <w:t xml:space="preserve"> Там, де гнеться верболіз,&lt;br /&gt;</w:t>
        <w:br/>
        <w:t>Чорногуз&lt;br /&gt;</w:t>
        <w:br/>
        <w:t>В ставок заліз.&lt;br /&gt;</w:t>
        <w:br/>
        <w:t>А на птицю з верболозу&lt;br /&gt;</w:t>
        <w:br/>
        <w:t>Вітер трусить&lt;br /&gt;</w:t>
        <w:br/>
        <w:t>Срібну росу.&lt;br /&gt;</w:t>
        <w:br/>
        <w:t>Рясно падає росиця —&lt;br /&gt;</w:t>
        <w:br/>
        <w:t>Славний душ&lt;br /&gt;</w:t>
        <w:br/>
        <w:t>Приймає птиця&lt;br /&gt;</w:t>
        <w:br/>
        <w:t>Коло берега щодня&lt;br /&gt;</w:t>
        <w:br/>
        <w:t>І не хниче,&lt;br /&gt;</w:t>
        <w:br/>
        <w:t>Що росиця&lt;br /&gt;</w:t>
        <w:br/>
        <w:t>Крижана!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Чорногуз приймає душ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