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Час, якщо він є, якщо існує...</w:t>
      </w:r>
    </w:p>
    <w:p>
      <w:r>
        <w:br/>
        <w:t xml:space="preserve"> Час, якщо він є, якщо існує, —&lt;br /&gt;</w:t>
        <w:br/>
        <w:t>Час як час і час як іже з ним —&lt;br /&gt;</w:t>
        <w:br/>
        <w:t>Тільки квітка, зірвана усує&lt;br /&gt;</w:t>
        <w:br/>
        <w:t>Богом безконечно молодим,&lt;br /&gt;</w:t>
        <w:br/>
        <w:t>Що всенастає. Тече і точить&lt;br /&gt;</w:t>
        <w:br/>
        <w:t>Точку скелі силою води.&lt;br /&gt;</w:t>
        <w:br/>
        <w:t>І, як кожне тіло, кровоточить —&lt;br /&gt;</w:t>
        <w:br/>
        <w:t>Всеніколи. Всененазавжди.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Час, якщо він є, якщо існує...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