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Чайка</w:t>
      </w:r>
    </w:p>
    <w:p>
      <w:r>
        <w:br/>
        <w:t xml:space="preserve"> За народними мотивами</w:t>
      </w:r>
    </w:p>
    <w:p>
      <w:r>
        <w:br/>
        <w:t>Хочеш — вір, а хоч — не вір:&lt;br /&gt;</w:t>
        <w:br/>
        <w:t>В чайки шапка набакир,&lt;br /&gt;</w:t>
        <w:br/>
        <w:t>Бо носила чайка сіно,&lt;br /&gt;</w:t>
        <w:br/>
        <w:t>Обросилась по коліна;&lt;br /&gt;</w:t>
        <w:br/>
        <w:t>Збило сіно шапку чайці,&lt;br /&gt;</w:t>
        <w:br/>
        <w:t>Натрусилось у сап'янці,—&lt;br /&gt;</w:t>
        <w:br/>
        <w:t>Так зате дітки чаїні&lt;br /&gt;</w:t>
        <w:br/>
        <w:t>Не в болоті сплять, а в сіні.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Чайка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