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Будь, як сонце, будь, як море, ясносяйним і глибоким...</w:t>
      </w:r>
    </w:p>
    <w:p>
      <w:r>
        <w:br/>
        <w:t xml:space="preserve"> Будь, як сонце, будь, як море, ясносяйним і глибоким,&lt;br /&gt;</w:t>
        <w:br/>
        <w:t>Будь прозорою рікою, будь шумуючим потоком,&lt;br /&gt;</w:t>
        <w:br/>
        <w:t>І неси на хвилях вільних білогруді кораблі&lt;br /&gt;</w:t>
        <w:br/>
        <w:t>В даль блакитно-загадкову від буденної землі.</w:t>
      </w:r>
    </w:p>
    <w:p>
      <w:r>
        <w:br/>
        <w:t>Будь, як вихор, неупинним, будь, як вітер, невгомонним,&lt;br /&gt;</w:t>
        <w:br/>
        <w:t>Розлетися над землею шляхом сонця велегонним,&lt;br /&gt;</w:t>
        <w:br/>
        <w:t>Розруйнуй турботи буднів, сірих буднів на землі&lt;br /&gt;</w:t>
        <w:br/>
        <w:t>І вквітчай квітками сходу білогруді кораблі!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Будь, як сонце, будь, як море, ясносяйним і глибоким...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