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свічок, без кадил і без співів сумних</w:t>
      </w:r>
    </w:p>
    <w:p>
      <w:r>
        <w:br/>
        <w:t xml:space="preserve"> Без свічок, без кадил і без співів сумних&lt;br /&gt;</w:t>
        <w:br/>
        <w:t>Лиш в тяжкій, нерозважній журбі&lt;br /&gt;</w:t>
        <w:br/>
        <w:t>Возгласимо сами ми в серцях мовчазних&lt;br /&gt;</w:t>
        <w:br/>
        <w:t>Вічну пам’ять, Кобзарю, тобі!</w:t>
      </w:r>
    </w:p>
    <w:p>
      <w:r>
        <w:br/>
        <w:t>Вічну пам’ять любови безмірній твоїй,&lt;br /&gt;</w:t>
        <w:br/>
        <w:t>Вічну пам’ять пекучим сльозам,&lt;br /&gt;</w:t>
        <w:br/>
        <w:t>Вічну пам’ять душі бездоганній, святій,&lt;br /&gt;</w:t>
        <w:br/>
        <w:t>Вічну пам’ять безсмертним словам.</w:t>
      </w:r>
    </w:p>
    <w:p>
      <w:r>
        <w:br/>
        <w:t>І Заступниця всіх, всіх скорб’ящих, сумних,&lt;br /&gt;</w:t>
        <w:br/>
        <w:t>Всіх знеможених гнітом важким&lt;br /&gt;</w:t>
        <w:br/>
        <w:t>Хай окриє тебе у оселях ясних&lt;br /&gt;</w:t>
        <w:br/>
        <w:t>Омофором пречистим своїм!</w:t>
      </w:r>
    </w:p>
    <w:p>
      <w:r>
        <w:br/>
        <w:t>В храми ясні, святі нам не вільно війти,&lt;br /&gt;</w:t>
        <w:br/>
        <w:t>Нам не вільно в палких молитвах&lt;br /&gt;</w:t>
        <w:br/>
        <w:t>Скарги – жалі сплести й хоч на хвилю знайти,&lt;br /&gt;</w:t>
        <w:br/>
        <w:t>Відпочинок у ревних сльозах.</w:t>
      </w:r>
    </w:p>
    <w:p>
      <w:r>
        <w:br/>
        <w:t>Ми з глибоким жалем в катакомби підем&lt;br /&gt;</w:t>
        <w:br/>
        <w:t>І знайдем там братерські хрести.&lt;br /&gt;</w:t>
        <w:br/>
        <w:t>Молитви в катакомбах палають вогнем&lt;br /&gt;</w:t>
        <w:br/>
        <w:t>І руйнують поганські світи!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свічок, без кадил і без співів сумних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