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Час, в якому прийде&lt;br /&gt;</w:t>
        <w:br/>
        <w:t>Моя смерть, як зав'яну,&lt;br /&gt;</w:t>
        <w:br/>
        <w:t>Хай се квітень буде,&lt;br /&gt;</w:t>
        <w:br/>
        <w:t>Райське сонячне рано!</w:t>
      </w:r>
    </w:p>
    <w:p>
      <w:r>
        <w:br/>
        <w:t>Най в садку соловій&lt;br /&gt;</w:t>
        <w:br/>
        <w:t>Мені дзвонить востаннє,&lt;br /&gt;</w:t>
        <w:br/>
        <w:t>Рож, ясминів, лелій&lt;br /&gt;</w:t>
        <w:br/>
        <w:t>Йде за трумном зітхання!</w:t>
      </w:r>
    </w:p>
    <w:p>
      <w:r>
        <w:br/>
        <w:t>Час, в якому прийде&lt;br /&gt;</w:t>
        <w:br/>
        <w:t>Моя смерть, як зав'яну,&lt;br /&gt;</w:t>
        <w:br/>
        <w:t>Хай се квітень буде!&lt;br /&gt;</w:t>
        <w:br/>
        <w:t>Райське сонячне рано!..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