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Балакучий Михайло</w:t>
      </w:r>
    </w:p>
    <w:p>
      <w:r>
        <w:br/>
        <w:t xml:space="preserve"> Як говорить Михайло,&lt;br /&gt;</w:t>
        <w:br/>
        <w:t>то руками махає:&lt;br /&gt;</w:t>
        <w:br/>
        <w:t>і отак,&lt;br /&gt;</w:t>
        <w:br/>
        <w:t>ще й отак,&lt;br /&gt;</w:t>
        <w:br/>
        <w:t>не Михайло —&lt;br /&gt;</w:t>
        <w:br/>
        <w:t>вітряк!&lt;br /&gt;</w:t>
        <w:br/>
        <w:t>І здається:&lt;br /&gt;</w:t>
        <w:br/>
        <w:t>за мить&lt;br /&gt;</w:t>
        <w:br/>
        <w:t>наш Михайло&lt;br /&gt;</w:t>
        <w:br/>
        <w:t>злетить...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Балакучий Михайло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