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Бакуніній</w:t>
      </w:r>
    </w:p>
    <w:p>
      <w:r>
        <w:br/>
        <w:t xml:space="preserve"> &lt;p&gt;Дарма б оспівував я ваші іменини,</w:t>
      </w:r>
    </w:p>
    <w:p>
      <w:r>
        <w:br/>
        <w:t>Хоч вашу похвалу хотілось би здобуть.</w:t>
      </w:r>
    </w:p>
    <w:p>
      <w:r>
        <w:br/>
        <w:t>Не стали кращою ви в день Єкатерини</w:t>
      </w:r>
    </w:p>
    <w:p>
      <w:r>
        <w:br/>
        <w:t>Тому, що кращою ніяк не можна буть.</w:t>
      </w:r>
    </w:p>
    <w:p>
      <w:r>
        <w:br/>
        <w:t>Переклад М. Рильського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Бакуніній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