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Атож, ота...</w:t>
      </w:r>
    </w:p>
    <w:p>
      <w:r>
        <w:br/>
        <w:t xml:space="preserve"> "Атож, ота".&lt;br /&gt;</w:t>
        <w:br/>
        <w:t>І&lt;br /&gt;</w:t>
        <w:br/>
        <w:t>За руку – раз,&lt;br /&gt;</w:t>
        <w:br/>
        <w:t>В кабак, в&lt;br /&gt;</w:t>
        <w:br/>
        <w:t>Бар "Краб".&lt;br /&gt;</w:t>
        <w:br/>
        <w:t>– Каву, чувак!&lt;br /&gt;</w:t>
        <w:br/>
        <w:t>Ух, кави вакху&lt;br /&gt;</w:t>
        <w:br/>
        <w:t>Ув зіллі... Зву&lt;br /&gt;</w:t>
        <w:br/>
        <w:t>Її.&lt;br /&gt;</w:t>
        <w:br/>
        <w:t>– Завжди джаз...&lt;br /&gt;</w:t>
        <w:br/>
        <w:t>– І – раті гітар, і...&lt;br /&gt;</w:t>
        <w:br/>
        <w:t>Умугикав, аки гуму.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Атож, 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