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ззаду Цар Мовчан</w:t>
      </w:r>
    </w:p>
    <w:p>
      <w:r>
        <w:br/>
        <w:t xml:space="preserve"> Свищу й видзвонюю зубами,&lt;br /&gt;</w:t>
        <w:br/>
        <w:t>Йдучи вночі по темній хащі,&lt;br /&gt;</w:t>
        <w:br/>
        <w:t>А ззаду велетень ступа:&lt;br /&gt;</w:t>
        <w:br/>
        <w:t>То Цар Мовчан.&lt;br /&gt;</w:t>
        <w:br/>
        <w:t>Не оглядайсь, бо ти пропащий!</w:t>
      </w:r>
    </w:p>
    <w:p>
      <w:r>
        <w:br/>
        <w:t>Не смій замовкнути й на хвильку,&lt;br /&gt;</w:t>
        <w:br/>
        <w:t>Не смій звести на Місяць очі:&lt;br /&gt;</w:t>
        <w:br/>
        <w:t>Один лиш зойк, один лиш хруск —&lt;br /&gt;</w:t>
        <w:br/>
        <w:t>Той Цар Мовчан&lt;br /&gt;</w:t>
        <w:br/>
        <w:t>Ступне на тебе і розтопче.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ззаду Цар Мовчан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